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87" w:rsidRPr="00786E92" w:rsidRDefault="003D2F08" w:rsidP="00E8497E">
      <w:pPr>
        <w:spacing w:line="360" w:lineRule="auto"/>
        <w:jc w:val="center"/>
        <w:rPr>
          <w:rFonts w:ascii="Times New Roman" w:hAnsi="Times New Roman" w:cs="Times New Roman"/>
          <w:b/>
          <w:sz w:val="24"/>
          <w:szCs w:val="24"/>
        </w:rPr>
      </w:pPr>
      <w:r w:rsidRPr="00786E92">
        <w:rPr>
          <w:rFonts w:ascii="Times New Roman" w:hAnsi="Times New Roman" w:cs="Times New Roman"/>
          <w:b/>
          <w:sz w:val="24"/>
          <w:szCs w:val="24"/>
        </w:rPr>
        <w:t>DERECHO DE LAS OBLIGACIONES CÁTEDRA B</w:t>
      </w:r>
      <w:r w:rsidR="00E8497E">
        <w:rPr>
          <w:rFonts w:ascii="Times New Roman" w:hAnsi="Times New Roman" w:cs="Times New Roman"/>
          <w:b/>
          <w:sz w:val="24"/>
          <w:szCs w:val="24"/>
        </w:rPr>
        <w:t xml:space="preserve"> (UMza)</w:t>
      </w:r>
    </w:p>
    <w:p w:rsidR="00F30F77" w:rsidRDefault="00F30F77" w:rsidP="00E8497E">
      <w:pPr>
        <w:spacing w:line="276" w:lineRule="auto"/>
        <w:jc w:val="center"/>
      </w:pPr>
      <w:r w:rsidRPr="00786E92">
        <w:rPr>
          <w:rFonts w:ascii="Times New Roman" w:hAnsi="Times New Roman" w:cs="Times New Roman"/>
          <w:b/>
          <w:sz w:val="24"/>
          <w:szCs w:val="24"/>
        </w:rPr>
        <w:t xml:space="preserve">DERECHO DE LAS OBLIGACIONES </w:t>
      </w:r>
      <w:r>
        <w:rPr>
          <w:rFonts w:ascii="Times New Roman" w:hAnsi="Times New Roman" w:cs="Times New Roman"/>
          <w:b/>
          <w:sz w:val="24"/>
          <w:szCs w:val="24"/>
        </w:rPr>
        <w:t>I TURNO TARDE</w:t>
      </w:r>
      <w:r w:rsidR="00E8497E">
        <w:rPr>
          <w:rFonts w:ascii="Times New Roman" w:hAnsi="Times New Roman" w:cs="Times New Roman"/>
          <w:b/>
          <w:sz w:val="24"/>
          <w:szCs w:val="24"/>
        </w:rPr>
        <w:t xml:space="preserve"> (Uncuyo)</w:t>
      </w:r>
    </w:p>
    <w:p w:rsidR="00F30F77" w:rsidRDefault="00F30F77" w:rsidP="00F30F77">
      <w:pPr>
        <w:spacing w:line="276" w:lineRule="auto"/>
        <w:jc w:val="both"/>
        <w:rPr>
          <w:rFonts w:ascii="Times New Roman" w:hAnsi="Times New Roman" w:cs="Times New Roman"/>
          <w:b/>
          <w:sz w:val="24"/>
          <w:szCs w:val="24"/>
        </w:rPr>
      </w:pPr>
      <w:r>
        <w:rPr>
          <w:rFonts w:ascii="Times New Roman" w:hAnsi="Times New Roman" w:cs="Times New Roman"/>
          <w:b/>
          <w:sz w:val="24"/>
          <w:szCs w:val="24"/>
        </w:rPr>
        <w:t>ELEMENTOS ESCENCIALES DE LA OBLIGACIÓN: CAUSA FUENTE</w:t>
      </w:r>
    </w:p>
    <w:p w:rsidR="00F30F77" w:rsidRDefault="00F30F77" w:rsidP="00F30F77">
      <w:pPr>
        <w:spacing w:line="276" w:lineRule="auto"/>
        <w:jc w:val="both"/>
        <w:rPr>
          <w:rFonts w:ascii="Times New Roman" w:hAnsi="Times New Roman" w:cs="Times New Roman"/>
          <w:b/>
          <w:sz w:val="24"/>
          <w:szCs w:val="24"/>
        </w:rPr>
      </w:pPr>
      <w:r w:rsidRPr="00786E92">
        <w:rPr>
          <w:rFonts w:ascii="Times New Roman" w:hAnsi="Times New Roman" w:cs="Times New Roman"/>
          <w:b/>
          <w:sz w:val="24"/>
          <w:szCs w:val="24"/>
        </w:rPr>
        <w:t>Profesora: Silvina Furlotti</w:t>
      </w:r>
    </w:p>
    <w:p w:rsidR="00F30F77" w:rsidRPr="00786E92" w:rsidRDefault="00AA29B4" w:rsidP="00F30F77">
      <w:pPr>
        <w:spacing w:line="276" w:lineRule="auto"/>
        <w:jc w:val="both"/>
        <w:rPr>
          <w:rFonts w:ascii="Times New Roman" w:hAnsi="Times New Roman" w:cs="Times New Roman"/>
          <w:b/>
          <w:sz w:val="24"/>
          <w:szCs w:val="24"/>
        </w:rPr>
      </w:pPr>
      <w:r>
        <w:rPr>
          <w:rFonts w:ascii="Times New Roman" w:hAnsi="Times New Roman" w:cs="Times New Roman"/>
          <w:b/>
          <w:sz w:val="24"/>
          <w:szCs w:val="24"/>
        </w:rPr>
        <w:t>Día: 10</w:t>
      </w:r>
      <w:r w:rsidR="00E8497E">
        <w:rPr>
          <w:rFonts w:ascii="Times New Roman" w:hAnsi="Times New Roman" w:cs="Times New Roman"/>
          <w:b/>
          <w:sz w:val="24"/>
          <w:szCs w:val="24"/>
        </w:rPr>
        <w:t xml:space="preserve"> (11)</w:t>
      </w:r>
      <w:r w:rsidR="00F30F77">
        <w:rPr>
          <w:rFonts w:ascii="Times New Roman" w:hAnsi="Times New Roman" w:cs="Times New Roman"/>
          <w:b/>
          <w:sz w:val="24"/>
          <w:szCs w:val="24"/>
        </w:rPr>
        <w:t>/0</w:t>
      </w:r>
      <w:r>
        <w:rPr>
          <w:rFonts w:ascii="Times New Roman" w:hAnsi="Times New Roman" w:cs="Times New Roman"/>
          <w:b/>
          <w:sz w:val="24"/>
          <w:szCs w:val="24"/>
        </w:rPr>
        <w:t>4</w:t>
      </w:r>
      <w:r w:rsidR="00F30F77">
        <w:rPr>
          <w:rFonts w:ascii="Times New Roman" w:hAnsi="Times New Roman" w:cs="Times New Roman"/>
          <w:b/>
          <w:sz w:val="24"/>
          <w:szCs w:val="24"/>
        </w:rPr>
        <w:t>/2018</w:t>
      </w:r>
    </w:p>
    <w:p w:rsidR="00F30F77" w:rsidRPr="00DC5A4B" w:rsidRDefault="00F30F77" w:rsidP="00F30F77">
      <w:pPr>
        <w:pStyle w:val="Prrafodelista"/>
        <w:numPr>
          <w:ilvl w:val="0"/>
          <w:numId w:val="3"/>
        </w:numPr>
        <w:spacing w:line="276" w:lineRule="auto"/>
        <w:jc w:val="both"/>
        <w:rPr>
          <w:rFonts w:ascii="Times New Roman" w:hAnsi="Times New Roman" w:cs="Times New Roman"/>
          <w:b/>
          <w:sz w:val="24"/>
          <w:szCs w:val="24"/>
        </w:rPr>
      </w:pPr>
      <w:r w:rsidRPr="00DC5A4B">
        <w:rPr>
          <w:rFonts w:ascii="Times New Roman" w:hAnsi="Times New Roman" w:cs="Times New Roman"/>
          <w:b/>
          <w:sz w:val="24"/>
          <w:szCs w:val="24"/>
        </w:rPr>
        <w:t xml:space="preserve">UBICACIÓN EN EL PROGRAMA: </w:t>
      </w:r>
    </w:p>
    <w:p w:rsidR="00F30F77" w:rsidRPr="00BA546F" w:rsidRDefault="00F30F77" w:rsidP="00F30F77">
      <w:pPr>
        <w:spacing w:line="276" w:lineRule="auto"/>
        <w:jc w:val="both"/>
        <w:rPr>
          <w:rFonts w:ascii="Times New Roman" w:hAnsi="Times New Roman" w:cs="Times New Roman"/>
          <w:sz w:val="24"/>
          <w:szCs w:val="24"/>
        </w:rPr>
      </w:pPr>
      <w:r w:rsidRPr="00BA546F">
        <w:rPr>
          <w:rFonts w:ascii="Times New Roman" w:hAnsi="Times New Roman" w:cs="Times New Roman"/>
          <w:b/>
          <w:sz w:val="24"/>
          <w:szCs w:val="24"/>
        </w:rPr>
        <w:t>Primer eje: ¿</w:t>
      </w:r>
      <w:r w:rsidRPr="00BA546F">
        <w:rPr>
          <w:rFonts w:ascii="Times New Roman" w:hAnsi="Times New Roman" w:cs="Times New Roman"/>
          <w:sz w:val="24"/>
          <w:szCs w:val="24"/>
        </w:rPr>
        <w:t>Qué es un crédito-obligación, cuáles son sus elementos esenciales, cómo nacen y cómo se clasifican?</w:t>
      </w:r>
    </w:p>
    <w:p w:rsidR="00AA29B4" w:rsidRPr="00D567A5" w:rsidRDefault="00AA29B4" w:rsidP="00AA29B4">
      <w:pPr>
        <w:jc w:val="both"/>
        <w:rPr>
          <w:rFonts w:ascii="Times New Roman" w:eastAsia="Calibri" w:hAnsi="Times New Roman"/>
          <w:b/>
          <w:sz w:val="24"/>
          <w:szCs w:val="24"/>
        </w:rPr>
      </w:pPr>
      <w:r w:rsidRPr="00D567A5">
        <w:rPr>
          <w:rFonts w:ascii="Times New Roman" w:eastAsia="Calibri" w:hAnsi="Times New Roman"/>
          <w:b/>
          <w:sz w:val="24"/>
          <w:szCs w:val="24"/>
        </w:rPr>
        <w:t>UNIDAD II</w:t>
      </w:r>
      <w:r>
        <w:rPr>
          <w:rFonts w:ascii="Times New Roman" w:eastAsia="Calibri" w:hAnsi="Times New Roman"/>
          <w:b/>
          <w:sz w:val="24"/>
          <w:szCs w:val="24"/>
        </w:rPr>
        <w:t xml:space="preserve"> - </w:t>
      </w:r>
      <w:r w:rsidRPr="00D567A5">
        <w:rPr>
          <w:rFonts w:ascii="Times New Roman" w:eastAsia="Calibri" w:hAnsi="Times New Roman"/>
          <w:b/>
          <w:sz w:val="24"/>
          <w:szCs w:val="24"/>
        </w:rPr>
        <w:t>Análisis estructural del crédito-obligación.</w:t>
      </w:r>
    </w:p>
    <w:p w:rsidR="00AA29B4" w:rsidRPr="008F1077" w:rsidRDefault="00AA29B4" w:rsidP="00AA29B4">
      <w:pPr>
        <w:pStyle w:val="Prrafodelista"/>
        <w:numPr>
          <w:ilvl w:val="0"/>
          <w:numId w:val="4"/>
        </w:numPr>
        <w:spacing w:before="120" w:after="120" w:line="360" w:lineRule="auto"/>
        <w:jc w:val="both"/>
        <w:rPr>
          <w:rFonts w:eastAsia="Calibri"/>
          <w:sz w:val="24"/>
          <w:szCs w:val="24"/>
        </w:rPr>
      </w:pPr>
      <w:r w:rsidRPr="008F1077">
        <w:rPr>
          <w:rFonts w:eastAsia="Calibri"/>
          <w:sz w:val="24"/>
          <w:szCs w:val="24"/>
        </w:rPr>
        <w:t>Elementos esenciales y accidentales.</w:t>
      </w:r>
    </w:p>
    <w:p w:rsidR="00AA29B4" w:rsidRPr="008F1077" w:rsidRDefault="00AA29B4" w:rsidP="00AA29B4">
      <w:pPr>
        <w:pStyle w:val="Prrafodelista"/>
        <w:numPr>
          <w:ilvl w:val="0"/>
          <w:numId w:val="4"/>
        </w:numPr>
        <w:spacing w:before="120" w:after="120" w:line="360" w:lineRule="auto"/>
        <w:jc w:val="both"/>
        <w:rPr>
          <w:rFonts w:eastAsia="Calibri"/>
          <w:sz w:val="24"/>
          <w:szCs w:val="24"/>
        </w:rPr>
      </w:pPr>
      <w:r w:rsidRPr="008F1077">
        <w:rPr>
          <w:rFonts w:eastAsia="Calibri"/>
          <w:sz w:val="24"/>
          <w:szCs w:val="24"/>
        </w:rPr>
        <w:t>La causa fuente. Noción de causa fuente: clasificación tradicional. El contrato. La responsabilidad civil. El enriquecimiento sin causa: noción, el principio.  Pago indebido. Pago por error. La voluntad unilateral. La sentencia. Las relaciones contractuales fácticas. Reconocimiento de las obligaciones (art. 733 C.C.C.N.), abstracto (art. 734 C.C.C.N.) y causal (art. 735 C.C.C.N.).</w:t>
      </w:r>
    </w:p>
    <w:p w:rsidR="00AA29B4" w:rsidRPr="008F1077" w:rsidRDefault="00AA29B4" w:rsidP="00AA29B4">
      <w:pPr>
        <w:pStyle w:val="Prrafodelista"/>
        <w:numPr>
          <w:ilvl w:val="0"/>
          <w:numId w:val="4"/>
        </w:numPr>
        <w:spacing w:before="120" w:after="120" w:line="360" w:lineRule="auto"/>
        <w:jc w:val="both"/>
        <w:rPr>
          <w:rFonts w:eastAsia="Calibri"/>
          <w:sz w:val="24"/>
          <w:szCs w:val="24"/>
        </w:rPr>
      </w:pPr>
      <w:r w:rsidRPr="008F1077">
        <w:rPr>
          <w:rFonts w:eastAsia="Calibri"/>
          <w:sz w:val="24"/>
          <w:szCs w:val="24"/>
        </w:rPr>
        <w:t>Influencia de la causa fin y motivo de los actos jurídicos en las obligaciones.</w:t>
      </w:r>
    </w:p>
    <w:p w:rsidR="003D2F08" w:rsidRPr="00786E92" w:rsidRDefault="003D2F08" w:rsidP="003D2F08">
      <w:pPr>
        <w:spacing w:line="360" w:lineRule="auto"/>
        <w:rPr>
          <w:rFonts w:ascii="Times New Roman" w:hAnsi="Times New Roman" w:cs="Times New Roman"/>
          <w:b/>
          <w:sz w:val="24"/>
          <w:szCs w:val="24"/>
        </w:rPr>
      </w:pPr>
      <w:r w:rsidRPr="00786E92">
        <w:rPr>
          <w:rFonts w:ascii="Times New Roman" w:hAnsi="Times New Roman" w:cs="Times New Roman"/>
          <w:b/>
          <w:sz w:val="24"/>
          <w:szCs w:val="24"/>
        </w:rPr>
        <w:t>BIBLIOGRAFÍA:</w:t>
      </w:r>
    </w:p>
    <w:p w:rsidR="00AA29B4" w:rsidRPr="007F0BDD" w:rsidRDefault="00AA29B4" w:rsidP="00AA29B4">
      <w:pPr>
        <w:spacing w:line="276" w:lineRule="auto"/>
        <w:jc w:val="both"/>
        <w:rPr>
          <w:rFonts w:ascii="Times New Roman" w:hAnsi="Times New Roman" w:cs="Times New Roman"/>
          <w:sz w:val="24"/>
          <w:szCs w:val="24"/>
        </w:rPr>
      </w:pPr>
      <w:r w:rsidRPr="007F0BDD">
        <w:rPr>
          <w:rFonts w:ascii="Times New Roman" w:hAnsi="Times New Roman" w:cs="Times New Roman"/>
          <w:sz w:val="24"/>
          <w:szCs w:val="24"/>
        </w:rPr>
        <w:t>PIZARRO, Ramón Daniel-VALLESPINOS, Carlos Gustavo “Tratado de obligaciones”, Santa Fe, Rubinzal y Culzoni, To I.</w:t>
      </w:r>
      <w:r>
        <w:rPr>
          <w:rFonts w:ascii="Times New Roman" w:hAnsi="Times New Roman" w:cs="Times New Roman"/>
          <w:sz w:val="24"/>
          <w:szCs w:val="24"/>
        </w:rPr>
        <w:t xml:space="preserve"> (p.161 a 193) y T° IV (p.247 a 485).</w:t>
      </w:r>
    </w:p>
    <w:p w:rsidR="0055181E" w:rsidRDefault="0055181E" w:rsidP="003D2F08">
      <w:pPr>
        <w:spacing w:line="360" w:lineRule="auto"/>
        <w:rPr>
          <w:rFonts w:ascii="Times New Roman" w:hAnsi="Times New Roman" w:cs="Times New Roman"/>
          <w:sz w:val="24"/>
          <w:szCs w:val="24"/>
        </w:rPr>
      </w:pPr>
      <w:r>
        <w:rPr>
          <w:rFonts w:ascii="Times New Roman" w:hAnsi="Times New Roman" w:cs="Times New Roman"/>
          <w:sz w:val="24"/>
          <w:szCs w:val="24"/>
        </w:rPr>
        <w:t>Código Civil y Comercial de la Nación comentado, Herrera, Marisa y ots. (dir.), online, infojus.com.ar, tomo III y tomo IV, ( comentarios a los artículos relacionados con el tema de la clase). Se puede bajar en forma gratuita.</w:t>
      </w:r>
    </w:p>
    <w:p w:rsidR="003D2F08" w:rsidRPr="00786E92" w:rsidRDefault="003D2F08" w:rsidP="003D2F08">
      <w:pPr>
        <w:spacing w:line="360" w:lineRule="auto"/>
        <w:rPr>
          <w:rFonts w:ascii="Times New Roman" w:hAnsi="Times New Roman" w:cs="Times New Roman"/>
          <w:b/>
          <w:sz w:val="24"/>
          <w:szCs w:val="24"/>
        </w:rPr>
      </w:pPr>
      <w:r w:rsidRPr="00786E92">
        <w:rPr>
          <w:rFonts w:ascii="Times New Roman" w:hAnsi="Times New Roman" w:cs="Times New Roman"/>
          <w:b/>
          <w:sz w:val="24"/>
          <w:szCs w:val="24"/>
        </w:rPr>
        <w:t>OBJETIVOS:</w:t>
      </w:r>
    </w:p>
    <w:p w:rsidR="003D2F08" w:rsidRDefault="003D2F08" w:rsidP="003D2F08">
      <w:pPr>
        <w:spacing w:line="360" w:lineRule="auto"/>
        <w:rPr>
          <w:rFonts w:ascii="Times New Roman" w:hAnsi="Times New Roman" w:cs="Times New Roman"/>
          <w:sz w:val="24"/>
          <w:szCs w:val="24"/>
        </w:rPr>
      </w:pPr>
      <w:r>
        <w:rPr>
          <w:rFonts w:ascii="Times New Roman" w:hAnsi="Times New Roman" w:cs="Times New Roman"/>
          <w:sz w:val="24"/>
          <w:szCs w:val="24"/>
        </w:rPr>
        <w:t>Comprender la causa fuente de las obligaciones y su ubicación en el CCyC</w:t>
      </w:r>
      <w:r w:rsidR="00AA29B4">
        <w:rPr>
          <w:rFonts w:ascii="Times New Roman" w:hAnsi="Times New Roman" w:cs="Times New Roman"/>
          <w:sz w:val="24"/>
          <w:szCs w:val="24"/>
        </w:rPr>
        <w:t>N</w:t>
      </w:r>
      <w:r>
        <w:rPr>
          <w:rFonts w:ascii="Times New Roman" w:hAnsi="Times New Roman" w:cs="Times New Roman"/>
          <w:sz w:val="24"/>
          <w:szCs w:val="24"/>
        </w:rPr>
        <w:t>.</w:t>
      </w:r>
    </w:p>
    <w:p w:rsidR="003D2F08" w:rsidRDefault="003D2F08" w:rsidP="003D2F08">
      <w:pPr>
        <w:spacing w:line="360" w:lineRule="auto"/>
        <w:rPr>
          <w:rFonts w:ascii="Times New Roman" w:hAnsi="Times New Roman" w:cs="Times New Roman"/>
          <w:sz w:val="24"/>
          <w:szCs w:val="24"/>
        </w:rPr>
      </w:pPr>
      <w:r>
        <w:rPr>
          <w:rFonts w:ascii="Times New Roman" w:hAnsi="Times New Roman" w:cs="Times New Roman"/>
          <w:sz w:val="24"/>
          <w:szCs w:val="24"/>
        </w:rPr>
        <w:t>Diferenciarla de los otros elementos esenciales.</w:t>
      </w:r>
    </w:p>
    <w:p w:rsidR="003D2F08" w:rsidRDefault="003D2F08" w:rsidP="003D2F08">
      <w:pPr>
        <w:spacing w:line="360" w:lineRule="auto"/>
        <w:rPr>
          <w:rFonts w:ascii="Times New Roman" w:hAnsi="Times New Roman" w:cs="Times New Roman"/>
          <w:sz w:val="24"/>
          <w:szCs w:val="24"/>
        </w:rPr>
      </w:pPr>
      <w:r>
        <w:rPr>
          <w:rFonts w:ascii="Times New Roman" w:hAnsi="Times New Roman" w:cs="Times New Roman"/>
          <w:sz w:val="24"/>
          <w:szCs w:val="24"/>
        </w:rPr>
        <w:t>Resolver problemas.</w:t>
      </w:r>
    </w:p>
    <w:p w:rsidR="003D2F08" w:rsidRDefault="003D2F08" w:rsidP="003D2F08">
      <w:pPr>
        <w:spacing w:line="360" w:lineRule="auto"/>
        <w:rPr>
          <w:rFonts w:ascii="Times New Roman" w:hAnsi="Times New Roman" w:cs="Times New Roman"/>
          <w:sz w:val="24"/>
          <w:szCs w:val="24"/>
        </w:rPr>
      </w:pPr>
      <w:r>
        <w:rPr>
          <w:rFonts w:ascii="Times New Roman" w:hAnsi="Times New Roman" w:cs="Times New Roman"/>
          <w:sz w:val="24"/>
          <w:szCs w:val="24"/>
        </w:rPr>
        <w:t>Aplicar el CCyC</w:t>
      </w:r>
      <w:r w:rsidR="00AA29B4">
        <w:rPr>
          <w:rFonts w:ascii="Times New Roman" w:hAnsi="Times New Roman" w:cs="Times New Roman"/>
          <w:sz w:val="24"/>
          <w:szCs w:val="24"/>
        </w:rPr>
        <w:t>N</w:t>
      </w:r>
      <w:r>
        <w:rPr>
          <w:rFonts w:ascii="Times New Roman" w:hAnsi="Times New Roman" w:cs="Times New Roman"/>
          <w:sz w:val="24"/>
          <w:szCs w:val="24"/>
        </w:rPr>
        <w:t xml:space="preserve"> a casos prácticos.</w:t>
      </w:r>
    </w:p>
    <w:p w:rsidR="003D2F08" w:rsidRDefault="003D2F08" w:rsidP="003D2F08">
      <w:pPr>
        <w:spacing w:line="360" w:lineRule="auto"/>
        <w:rPr>
          <w:rFonts w:ascii="Times New Roman" w:hAnsi="Times New Roman" w:cs="Times New Roman"/>
          <w:sz w:val="24"/>
          <w:szCs w:val="24"/>
        </w:rPr>
      </w:pPr>
      <w:r>
        <w:rPr>
          <w:rFonts w:ascii="Times New Roman" w:hAnsi="Times New Roman" w:cs="Times New Roman"/>
          <w:sz w:val="24"/>
          <w:szCs w:val="24"/>
        </w:rPr>
        <w:t>Trabajar en grupo.</w:t>
      </w:r>
    </w:p>
    <w:p w:rsidR="00AA29B4" w:rsidRDefault="00AA29B4" w:rsidP="003D2F0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Leer jurisprudencia.</w:t>
      </w:r>
    </w:p>
    <w:p w:rsidR="0055181E" w:rsidRPr="00786E92" w:rsidRDefault="003D2F08" w:rsidP="0055181E">
      <w:pPr>
        <w:spacing w:line="360" w:lineRule="auto"/>
        <w:rPr>
          <w:rFonts w:ascii="Times New Roman" w:hAnsi="Times New Roman" w:cs="Times New Roman"/>
          <w:b/>
          <w:sz w:val="24"/>
          <w:szCs w:val="24"/>
        </w:rPr>
      </w:pPr>
      <w:r w:rsidRPr="00786E92">
        <w:rPr>
          <w:rFonts w:ascii="Times New Roman" w:hAnsi="Times New Roman" w:cs="Times New Roman"/>
          <w:b/>
          <w:sz w:val="24"/>
          <w:szCs w:val="24"/>
        </w:rPr>
        <w:t>ACTIVIDADES:</w:t>
      </w:r>
    </w:p>
    <w:p w:rsidR="0055181E" w:rsidRDefault="0055181E" w:rsidP="00354835">
      <w:pPr>
        <w:spacing w:line="360" w:lineRule="auto"/>
        <w:ind w:firstLine="708"/>
        <w:rPr>
          <w:rFonts w:ascii="Times New Roman" w:hAnsi="Times New Roman" w:cs="Times New Roman"/>
          <w:sz w:val="24"/>
          <w:szCs w:val="24"/>
        </w:rPr>
      </w:pPr>
      <w:r>
        <w:rPr>
          <w:rFonts w:ascii="Times New Roman" w:hAnsi="Times New Roman" w:cs="Times New Roman"/>
          <w:sz w:val="24"/>
          <w:szCs w:val="24"/>
        </w:rPr>
        <w:t>1.En forma grupal elaborar un mapa o red conceptual sobre los elementos esenciales de las obligaciones.</w:t>
      </w:r>
    </w:p>
    <w:p w:rsidR="00C16360" w:rsidRDefault="00C16360" w:rsidP="0055181E">
      <w:pPr>
        <w:spacing w:line="360" w:lineRule="auto"/>
        <w:rPr>
          <w:rFonts w:ascii="Times New Roman" w:hAnsi="Times New Roman" w:cs="Times New Roman"/>
          <w:sz w:val="24"/>
          <w:szCs w:val="24"/>
        </w:rPr>
      </w:pPr>
      <w:r>
        <w:rPr>
          <w:rFonts w:ascii="Times New Roman" w:hAnsi="Times New Roman" w:cs="Times New Roman"/>
          <w:sz w:val="24"/>
          <w:szCs w:val="24"/>
        </w:rPr>
        <w:t>Luego recordar qué y cuáles eran las causas fuentes en el Derecho Romano.</w:t>
      </w:r>
    </w:p>
    <w:p w:rsidR="00A717F7" w:rsidRDefault="00C16360" w:rsidP="00354835">
      <w:pPr>
        <w:spacing w:line="360" w:lineRule="auto"/>
        <w:ind w:firstLine="708"/>
        <w:rPr>
          <w:rFonts w:ascii="Times New Roman" w:hAnsi="Times New Roman" w:cs="Times New Roman"/>
          <w:sz w:val="24"/>
          <w:szCs w:val="24"/>
        </w:rPr>
      </w:pPr>
      <w:r>
        <w:rPr>
          <w:rFonts w:ascii="Times New Roman" w:hAnsi="Times New Roman" w:cs="Times New Roman"/>
          <w:sz w:val="24"/>
          <w:szCs w:val="24"/>
        </w:rPr>
        <w:t>2.</w:t>
      </w:r>
      <w:r w:rsidR="00A717F7">
        <w:rPr>
          <w:rFonts w:ascii="Times New Roman" w:hAnsi="Times New Roman" w:cs="Times New Roman"/>
          <w:sz w:val="24"/>
          <w:szCs w:val="24"/>
        </w:rPr>
        <w:t xml:space="preserve">leer la siguiente nota periodística y analizar si existe causa fuente de la obligación: </w:t>
      </w:r>
      <w:r w:rsidR="00A717F7" w:rsidRPr="00A717F7">
        <w:rPr>
          <w:rFonts w:ascii="Times New Roman" w:hAnsi="Times New Roman" w:cs="Times New Roman"/>
          <w:sz w:val="24"/>
          <w:szCs w:val="24"/>
        </w:rPr>
        <w:t>http://www.bbc.com/news/world-europe-31864218?utm_content=buffere1ac0&amp;utm_medium=social&amp;utm_source=twitter.com&amp;utm_campaign=buffer</w:t>
      </w:r>
    </w:p>
    <w:p w:rsidR="00A717F7" w:rsidRDefault="00A717F7" w:rsidP="0055181E">
      <w:pPr>
        <w:spacing w:line="360" w:lineRule="auto"/>
        <w:rPr>
          <w:rFonts w:ascii="Times New Roman" w:hAnsi="Times New Roman" w:cs="Times New Roman"/>
          <w:sz w:val="24"/>
          <w:szCs w:val="24"/>
        </w:rPr>
      </w:pPr>
      <w:r>
        <w:rPr>
          <w:noProof/>
          <w:lang w:val="es-AR" w:eastAsia="es-AR"/>
        </w:rPr>
        <w:drawing>
          <wp:inline distT="0" distB="0" distL="0" distR="0">
            <wp:extent cx="3390180" cy="1905692"/>
            <wp:effectExtent l="19050" t="0" r="720" b="0"/>
            <wp:docPr id="1" name="Imagen 1" descr="Un asistente de enfermera prepara una vacuna contra el sarampión en Berlín, Ale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asistente de enfermera prepara una vacuna contra el sarampión en Berlín, Alemania"/>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2879" cy="1907209"/>
                    </a:xfrm>
                    <a:prstGeom prst="rect">
                      <a:avLst/>
                    </a:prstGeom>
                    <a:noFill/>
                    <a:ln>
                      <a:noFill/>
                    </a:ln>
                  </pic:spPr>
                </pic:pic>
              </a:graphicData>
            </a:graphic>
          </wp:inline>
        </w:drawing>
      </w:r>
    </w:p>
    <w:p w:rsidR="00A717F7" w:rsidRDefault="00A717F7" w:rsidP="00A717F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 Alemania un  biólogo alemán </w:t>
      </w:r>
      <w:r w:rsidRPr="00A717F7">
        <w:rPr>
          <w:rFonts w:ascii="Times New Roman" w:hAnsi="Times New Roman" w:cs="Times New Roman"/>
          <w:sz w:val="24"/>
          <w:szCs w:val="24"/>
        </w:rPr>
        <w:t>ofreció</w:t>
      </w:r>
      <w:r>
        <w:rPr>
          <w:rFonts w:ascii="Times New Roman" w:hAnsi="Times New Roman" w:cs="Times New Roman"/>
          <w:sz w:val="24"/>
          <w:szCs w:val="24"/>
        </w:rPr>
        <w:t xml:space="preserve"> 100.000 €  a cualquier persona</w:t>
      </w:r>
      <w:r w:rsidRPr="00A717F7">
        <w:rPr>
          <w:rFonts w:ascii="Times New Roman" w:hAnsi="Times New Roman" w:cs="Times New Roman"/>
          <w:sz w:val="24"/>
          <w:szCs w:val="24"/>
        </w:rPr>
        <w:t xml:space="preserve"> que pudiera probar que</w:t>
      </w:r>
      <w:r>
        <w:rPr>
          <w:rFonts w:ascii="Times New Roman" w:hAnsi="Times New Roman" w:cs="Times New Roman"/>
          <w:sz w:val="24"/>
          <w:szCs w:val="24"/>
        </w:rPr>
        <w:t xml:space="preserve"> el sarampión es un virus por cuanto él cree quela enfermedad es psicosomática. El biólogo, Sr. Lanka, hizo la promesa </w:t>
      </w:r>
      <w:r w:rsidRPr="00A717F7">
        <w:rPr>
          <w:rFonts w:ascii="Times New Roman" w:hAnsi="Times New Roman" w:cs="Times New Roman"/>
          <w:sz w:val="24"/>
          <w:szCs w:val="24"/>
        </w:rPr>
        <w:t>hace cuatro años en su página web.</w:t>
      </w:r>
    </w:p>
    <w:p w:rsidR="00A717F7" w:rsidRDefault="00A717F7" w:rsidP="00A717F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Un médico alemán, Dr. Barden,  pide el dinero ofrecido porque reunió evidencia de varios estudios médicos. El biólogo, Sr. Lanka, rechazó los hallazgos y la recompensa. El Sr. Barden lo demandó y el </w:t>
      </w:r>
      <w:r w:rsidRPr="00A717F7">
        <w:rPr>
          <w:rFonts w:ascii="Times New Roman" w:hAnsi="Times New Roman" w:cs="Times New Roman"/>
          <w:sz w:val="24"/>
          <w:szCs w:val="24"/>
        </w:rPr>
        <w:t xml:space="preserve"> tribunal de la ciudad de Ravensburg dictaminó que la prueba era suficiente.</w:t>
      </w:r>
    </w:p>
    <w:p w:rsidR="00A717F7" w:rsidRPr="00786E92" w:rsidRDefault="005444FD" w:rsidP="00A717F7">
      <w:pPr>
        <w:spacing w:line="360" w:lineRule="auto"/>
        <w:ind w:firstLine="708"/>
        <w:rPr>
          <w:rFonts w:ascii="Times New Roman" w:hAnsi="Times New Roman" w:cs="Times New Roman"/>
          <w:b/>
          <w:sz w:val="24"/>
          <w:szCs w:val="24"/>
        </w:rPr>
      </w:pPr>
      <w:r w:rsidRPr="00786E92">
        <w:rPr>
          <w:rFonts w:ascii="Times New Roman" w:hAnsi="Times New Roman" w:cs="Times New Roman"/>
          <w:b/>
          <w:sz w:val="24"/>
          <w:szCs w:val="24"/>
        </w:rPr>
        <w:t>En esta guía de actividades te damos las herramientas para que puedas determinar en un caso, como el narrado precedentemente, sí existe obligación y si ésta tiene causa fuente ya que “no hay obligación sin causa”.</w:t>
      </w:r>
    </w:p>
    <w:p w:rsidR="00354835" w:rsidRDefault="005444FD" w:rsidP="00A717F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También te servirá para analizar muchas ofertas que, cotidianamente, leemos en los diarios, o sitios especializados, por ejemplo, ventas de automotores hechas por el dueño o por concesionarias. Las ofertas de los supermercados, los carteles colgados en </w:t>
      </w:r>
      <w:r>
        <w:rPr>
          <w:rFonts w:ascii="Times New Roman" w:hAnsi="Times New Roman" w:cs="Times New Roman"/>
          <w:sz w:val="24"/>
          <w:szCs w:val="24"/>
        </w:rPr>
        <w:lastRenderedPageBreak/>
        <w:t>el almacén ofreciendo recompensa por si se encuentra un perro perdido. También si un grupo de compañeros se presenta a un concurso público, o si aplican  a una beca de estudios.</w:t>
      </w:r>
    </w:p>
    <w:p w:rsidR="00354835" w:rsidRDefault="00354835" w:rsidP="00A717F7">
      <w:pPr>
        <w:spacing w:line="360" w:lineRule="auto"/>
        <w:ind w:firstLine="708"/>
        <w:rPr>
          <w:rFonts w:ascii="Times New Roman" w:hAnsi="Times New Roman" w:cs="Times New Roman"/>
          <w:sz w:val="24"/>
          <w:szCs w:val="24"/>
        </w:rPr>
      </w:pPr>
    </w:p>
    <w:p w:rsidR="005444FD" w:rsidRDefault="005444FD" w:rsidP="00A717F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EC3F53" w:rsidRDefault="00EC3F53" w:rsidP="00A717F7">
      <w:pPr>
        <w:spacing w:line="360" w:lineRule="auto"/>
        <w:ind w:firstLine="708"/>
        <w:rPr>
          <w:rFonts w:ascii="Times New Roman" w:hAnsi="Times New Roman" w:cs="Times New Roman"/>
          <w:sz w:val="24"/>
          <w:szCs w:val="24"/>
        </w:rPr>
      </w:pPr>
      <w:r>
        <w:rPr>
          <w:rFonts w:ascii="Times New Roman" w:hAnsi="Times New Roman" w:cs="Times New Roman"/>
          <w:sz w:val="24"/>
          <w:szCs w:val="24"/>
        </w:rPr>
        <w:t>Para poder resolver este caso, será de utilidad completar esta guía, que te ayudará a ubicarte en el tema.</w:t>
      </w:r>
    </w:p>
    <w:p w:rsidR="00070A87" w:rsidRDefault="00786E92" w:rsidP="0055181E">
      <w:pPr>
        <w:spacing w:line="360" w:lineRule="auto"/>
        <w:rPr>
          <w:rFonts w:ascii="Times New Roman" w:hAnsi="Times New Roman" w:cs="Times New Roman"/>
          <w:sz w:val="24"/>
          <w:szCs w:val="24"/>
        </w:rPr>
      </w:pPr>
      <w:r>
        <w:rPr>
          <w:rFonts w:ascii="Times New Roman" w:hAnsi="Times New Roman" w:cs="Times New Roman"/>
          <w:sz w:val="24"/>
          <w:szCs w:val="24"/>
        </w:rPr>
        <w:t>3</w:t>
      </w:r>
      <w:r w:rsidR="00A717F7">
        <w:rPr>
          <w:rFonts w:ascii="Times New Roman" w:hAnsi="Times New Roman" w:cs="Times New Roman"/>
          <w:sz w:val="24"/>
          <w:szCs w:val="24"/>
        </w:rPr>
        <w:t>.</w:t>
      </w:r>
      <w:r w:rsidR="00C16360">
        <w:rPr>
          <w:rFonts w:ascii="Times New Roman" w:hAnsi="Times New Roman" w:cs="Times New Roman"/>
          <w:sz w:val="24"/>
          <w:szCs w:val="24"/>
        </w:rPr>
        <w:t xml:space="preserve">noción de causa fuente. Lectura </w:t>
      </w:r>
      <w:r w:rsidR="00070A87">
        <w:rPr>
          <w:rFonts w:ascii="Times New Roman" w:hAnsi="Times New Roman" w:cs="Times New Roman"/>
          <w:sz w:val="24"/>
          <w:szCs w:val="24"/>
        </w:rPr>
        <w:t xml:space="preserve">de los </w:t>
      </w:r>
      <w:r w:rsidR="00C16360">
        <w:rPr>
          <w:rFonts w:ascii="Times New Roman" w:hAnsi="Times New Roman" w:cs="Times New Roman"/>
          <w:sz w:val="24"/>
          <w:szCs w:val="24"/>
        </w:rPr>
        <w:t>art</w:t>
      </w:r>
      <w:r w:rsidR="00070A87">
        <w:rPr>
          <w:rFonts w:ascii="Times New Roman" w:hAnsi="Times New Roman" w:cs="Times New Roman"/>
          <w:sz w:val="24"/>
          <w:szCs w:val="24"/>
        </w:rPr>
        <w:t>s</w:t>
      </w:r>
      <w:r w:rsidR="00C16360">
        <w:rPr>
          <w:rFonts w:ascii="Times New Roman" w:hAnsi="Times New Roman" w:cs="Times New Roman"/>
          <w:sz w:val="24"/>
          <w:szCs w:val="24"/>
        </w:rPr>
        <w:t xml:space="preserve">. 726 </w:t>
      </w:r>
      <w:r w:rsidR="00070A87">
        <w:rPr>
          <w:rFonts w:ascii="Times New Roman" w:hAnsi="Times New Roman" w:cs="Times New Roman"/>
          <w:sz w:val="24"/>
          <w:szCs w:val="24"/>
        </w:rPr>
        <w:t>y 727 del CCyC: ¿qué sucede si la obligación no tiene causa fuente? ¿qué sucede si está probada la existencia de la obligación, pero no su fuente?.</w:t>
      </w:r>
    </w:p>
    <w:p w:rsidR="00070A87" w:rsidRDefault="00786E92" w:rsidP="0055181E">
      <w:pPr>
        <w:spacing w:line="360" w:lineRule="auto"/>
        <w:rPr>
          <w:rFonts w:ascii="Times New Roman" w:hAnsi="Times New Roman" w:cs="Times New Roman"/>
          <w:sz w:val="24"/>
          <w:szCs w:val="24"/>
        </w:rPr>
      </w:pPr>
      <w:r>
        <w:rPr>
          <w:rFonts w:ascii="Times New Roman" w:hAnsi="Times New Roman" w:cs="Times New Roman"/>
          <w:sz w:val="24"/>
          <w:szCs w:val="24"/>
        </w:rPr>
        <w:t>4</w:t>
      </w:r>
      <w:r w:rsidR="00070A87">
        <w:rPr>
          <w:rFonts w:ascii="Times New Roman" w:hAnsi="Times New Roman" w:cs="Times New Roman"/>
          <w:sz w:val="24"/>
          <w:szCs w:val="24"/>
        </w:rPr>
        <w:t>. En el CCyC se regulan las siguientes fuentes de las obligaciones:</w:t>
      </w:r>
    </w:p>
    <w:p w:rsidR="00070A87" w:rsidRDefault="00070A87" w:rsidP="0055181E">
      <w:pPr>
        <w:spacing w:line="360" w:lineRule="auto"/>
        <w:rPr>
          <w:rFonts w:ascii="Times New Roman" w:hAnsi="Times New Roman" w:cs="Times New Roman"/>
          <w:sz w:val="24"/>
          <w:szCs w:val="24"/>
        </w:rPr>
      </w:pPr>
      <w:r>
        <w:rPr>
          <w:rFonts w:ascii="Times New Roman" w:hAnsi="Times New Roman" w:cs="Times New Roman"/>
          <w:sz w:val="24"/>
          <w:szCs w:val="24"/>
        </w:rPr>
        <w:t>Contrato (arts. 957 a 1707).</w:t>
      </w:r>
    </w:p>
    <w:p w:rsidR="00070A87" w:rsidRDefault="00070A87" w:rsidP="0055181E">
      <w:pPr>
        <w:spacing w:line="360" w:lineRule="auto"/>
        <w:rPr>
          <w:rFonts w:ascii="Times New Roman" w:hAnsi="Times New Roman" w:cs="Times New Roman"/>
          <w:sz w:val="24"/>
          <w:szCs w:val="24"/>
        </w:rPr>
      </w:pPr>
      <w:r>
        <w:rPr>
          <w:rFonts w:ascii="Times New Roman" w:hAnsi="Times New Roman" w:cs="Times New Roman"/>
          <w:sz w:val="24"/>
          <w:szCs w:val="24"/>
        </w:rPr>
        <w:t>Responsabilidad civil (art. 708 a 1780).</w:t>
      </w:r>
    </w:p>
    <w:p w:rsidR="00070A87" w:rsidRDefault="00070A87" w:rsidP="0055181E">
      <w:pPr>
        <w:spacing w:line="360" w:lineRule="auto"/>
        <w:rPr>
          <w:rFonts w:ascii="Times New Roman" w:hAnsi="Times New Roman" w:cs="Times New Roman"/>
          <w:sz w:val="24"/>
          <w:szCs w:val="24"/>
        </w:rPr>
      </w:pPr>
      <w:r>
        <w:rPr>
          <w:rFonts w:ascii="Times New Roman" w:hAnsi="Times New Roman" w:cs="Times New Roman"/>
          <w:sz w:val="24"/>
          <w:szCs w:val="24"/>
        </w:rPr>
        <w:t>Gestión de negocios (arts. 1781 a 1790).</w:t>
      </w:r>
    </w:p>
    <w:p w:rsidR="00070A87" w:rsidRDefault="00070A87" w:rsidP="0055181E">
      <w:pPr>
        <w:spacing w:line="360" w:lineRule="auto"/>
        <w:rPr>
          <w:rFonts w:ascii="Times New Roman" w:hAnsi="Times New Roman" w:cs="Times New Roman"/>
          <w:sz w:val="24"/>
          <w:szCs w:val="24"/>
        </w:rPr>
      </w:pPr>
      <w:r>
        <w:rPr>
          <w:rFonts w:ascii="Times New Roman" w:hAnsi="Times New Roman" w:cs="Times New Roman"/>
          <w:sz w:val="24"/>
          <w:szCs w:val="24"/>
        </w:rPr>
        <w:t>Empleo útil (arts. 1791 a 1793)</w:t>
      </w:r>
    </w:p>
    <w:p w:rsidR="00070A87" w:rsidRDefault="00070A87" w:rsidP="0055181E">
      <w:pPr>
        <w:spacing w:line="360" w:lineRule="auto"/>
        <w:rPr>
          <w:rFonts w:ascii="Times New Roman" w:hAnsi="Times New Roman" w:cs="Times New Roman"/>
          <w:sz w:val="24"/>
          <w:szCs w:val="24"/>
        </w:rPr>
      </w:pPr>
      <w:r>
        <w:rPr>
          <w:rFonts w:ascii="Times New Roman" w:hAnsi="Times New Roman" w:cs="Times New Roman"/>
          <w:sz w:val="24"/>
          <w:szCs w:val="24"/>
        </w:rPr>
        <w:t xml:space="preserve">El </w:t>
      </w:r>
      <w:r w:rsidR="007217F4">
        <w:rPr>
          <w:rFonts w:ascii="Times New Roman" w:hAnsi="Times New Roman" w:cs="Times New Roman"/>
          <w:sz w:val="24"/>
          <w:szCs w:val="24"/>
        </w:rPr>
        <w:t xml:space="preserve">enriquecimiento sin causa. Pago de lo indebido </w:t>
      </w:r>
      <w:r>
        <w:rPr>
          <w:rFonts w:ascii="Times New Roman" w:hAnsi="Times New Roman" w:cs="Times New Roman"/>
          <w:sz w:val="24"/>
          <w:szCs w:val="24"/>
        </w:rPr>
        <w:t>(arts. 1794 a 1799)</w:t>
      </w:r>
    </w:p>
    <w:p w:rsidR="00070A87" w:rsidRDefault="00070A87" w:rsidP="0055181E">
      <w:pPr>
        <w:spacing w:line="360" w:lineRule="auto"/>
        <w:rPr>
          <w:rFonts w:ascii="Times New Roman" w:hAnsi="Times New Roman" w:cs="Times New Roman"/>
          <w:sz w:val="24"/>
          <w:szCs w:val="24"/>
        </w:rPr>
      </w:pPr>
      <w:r>
        <w:rPr>
          <w:rFonts w:ascii="Times New Roman" w:hAnsi="Times New Roman" w:cs="Times New Roman"/>
          <w:sz w:val="24"/>
          <w:szCs w:val="24"/>
        </w:rPr>
        <w:t>Declaración unilateral de la voluntad</w:t>
      </w:r>
      <w:r w:rsidR="007217F4">
        <w:rPr>
          <w:rFonts w:ascii="Times New Roman" w:hAnsi="Times New Roman" w:cs="Times New Roman"/>
          <w:sz w:val="24"/>
          <w:szCs w:val="24"/>
        </w:rPr>
        <w:t>. Promesa pública de recompensa. Concurso público con premio. Garantías un</w:t>
      </w:r>
      <w:r w:rsidR="00AA29B4">
        <w:rPr>
          <w:rFonts w:ascii="Times New Roman" w:hAnsi="Times New Roman" w:cs="Times New Roman"/>
          <w:sz w:val="24"/>
          <w:szCs w:val="24"/>
        </w:rPr>
        <w:t>ilaterales.</w:t>
      </w:r>
      <w:bookmarkStart w:id="0" w:name="_GoBack"/>
      <w:bookmarkEnd w:id="0"/>
      <w:r w:rsidR="007217F4">
        <w:rPr>
          <w:rFonts w:ascii="Times New Roman" w:hAnsi="Times New Roman" w:cs="Times New Roman"/>
          <w:sz w:val="24"/>
          <w:szCs w:val="24"/>
        </w:rPr>
        <w:t xml:space="preserve"> Promesa de pago. </w:t>
      </w:r>
      <w:r>
        <w:rPr>
          <w:rFonts w:ascii="Times New Roman" w:hAnsi="Times New Roman" w:cs="Times New Roman"/>
          <w:sz w:val="24"/>
          <w:szCs w:val="24"/>
        </w:rPr>
        <w:t xml:space="preserve"> (arts. 1800 a 1814)</w:t>
      </w:r>
    </w:p>
    <w:p w:rsidR="00C16360" w:rsidRDefault="00070A87" w:rsidP="0055181E">
      <w:pPr>
        <w:spacing w:line="360" w:lineRule="auto"/>
        <w:rPr>
          <w:rFonts w:ascii="Times New Roman" w:hAnsi="Times New Roman" w:cs="Times New Roman"/>
          <w:sz w:val="24"/>
          <w:szCs w:val="24"/>
        </w:rPr>
      </w:pPr>
      <w:r>
        <w:rPr>
          <w:rFonts w:ascii="Times New Roman" w:hAnsi="Times New Roman" w:cs="Times New Roman"/>
          <w:sz w:val="24"/>
          <w:szCs w:val="24"/>
        </w:rPr>
        <w:t>Título valores (arts. 1815 a 1881).</w:t>
      </w:r>
    </w:p>
    <w:p w:rsidR="00AA29B4" w:rsidRPr="00354835" w:rsidRDefault="00354835" w:rsidP="00354835">
      <w:pPr>
        <w:spacing w:line="360" w:lineRule="auto"/>
        <w:rPr>
          <w:rFonts w:ascii="Times New Roman" w:hAnsi="Times New Roman" w:cs="Times New Roman"/>
          <w:sz w:val="24"/>
          <w:szCs w:val="24"/>
        </w:rPr>
      </w:pPr>
      <w:r>
        <w:rPr>
          <w:rFonts w:ascii="Times New Roman" w:hAnsi="Times New Roman" w:cs="Times New Roman"/>
          <w:sz w:val="24"/>
          <w:szCs w:val="24"/>
        </w:rPr>
        <w:t>5.</w:t>
      </w:r>
      <w:r w:rsidR="00AA29B4" w:rsidRPr="00354835">
        <w:rPr>
          <w:rFonts w:ascii="Times New Roman" w:hAnsi="Times New Roman" w:cs="Times New Roman"/>
          <w:sz w:val="24"/>
          <w:szCs w:val="24"/>
        </w:rPr>
        <w:t>Enriquecimiento sin causa. Pago indebido</w:t>
      </w:r>
    </w:p>
    <w:p w:rsidR="00AA29B4" w:rsidRDefault="00354835" w:rsidP="0055181E">
      <w:pPr>
        <w:spacing w:line="360" w:lineRule="auto"/>
        <w:rPr>
          <w:rFonts w:ascii="Times New Roman" w:hAnsi="Times New Roman" w:cs="Times New Roman"/>
          <w:sz w:val="24"/>
          <w:szCs w:val="24"/>
        </w:rPr>
      </w:pPr>
      <w:r>
        <w:rPr>
          <w:rFonts w:ascii="Times New Roman" w:hAnsi="Times New Roman" w:cs="Times New Roman"/>
          <w:sz w:val="24"/>
          <w:szCs w:val="24"/>
        </w:rPr>
        <w:t>Resolución de problemas sobre pago indebido</w:t>
      </w:r>
    </w:p>
    <w:p w:rsidR="00000000" w:rsidRDefault="00E963F3" w:rsidP="00AA29B4">
      <w:pPr>
        <w:numPr>
          <w:ilvl w:val="0"/>
          <w:numId w:val="5"/>
        </w:numPr>
        <w:spacing w:line="360" w:lineRule="auto"/>
        <w:rPr>
          <w:rFonts w:ascii="Times New Roman" w:hAnsi="Times New Roman" w:cs="Times New Roman"/>
          <w:sz w:val="24"/>
          <w:szCs w:val="24"/>
          <w:lang w:val="es-AR"/>
        </w:rPr>
      </w:pPr>
      <w:r w:rsidRPr="00AA29B4">
        <w:rPr>
          <w:rFonts w:ascii="Times New Roman" w:hAnsi="Times New Roman" w:cs="Times New Roman"/>
          <w:sz w:val="24"/>
          <w:szCs w:val="24"/>
          <w:lang w:val="es-ES_tradnl"/>
        </w:rPr>
        <w:t xml:space="preserve">El 30 de enero próximo pasado a Ignacio Riquelme le robaron su automotor que había dejado estacionado en el parque “General San Martín”. Realiza las correspondientes denuncias y la compañía Aseguradora “El </w:t>
      </w:r>
      <w:r w:rsidR="00E8497E">
        <w:rPr>
          <w:rFonts w:ascii="Times New Roman" w:hAnsi="Times New Roman" w:cs="Times New Roman"/>
          <w:sz w:val="24"/>
          <w:szCs w:val="24"/>
          <w:lang w:val="es-ES_tradnl"/>
        </w:rPr>
        <w:t>Sur” le pagó</w:t>
      </w:r>
      <w:r w:rsidRPr="00AA29B4">
        <w:rPr>
          <w:rFonts w:ascii="Times New Roman" w:hAnsi="Times New Roman" w:cs="Times New Roman"/>
          <w:sz w:val="24"/>
          <w:szCs w:val="24"/>
          <w:lang w:val="es-ES_tradnl"/>
        </w:rPr>
        <w:t xml:space="preserve"> la indemnización por la pérdida del automotor. La semana pasada la pol</w:t>
      </w:r>
      <w:r w:rsidR="00E8497E">
        <w:rPr>
          <w:rFonts w:ascii="Times New Roman" w:hAnsi="Times New Roman" w:cs="Times New Roman"/>
          <w:sz w:val="24"/>
          <w:szCs w:val="24"/>
          <w:lang w:val="es-ES_tradnl"/>
        </w:rPr>
        <w:t>icía encuentra el automotor y s</w:t>
      </w:r>
      <w:r w:rsidRPr="00AA29B4">
        <w:rPr>
          <w:rFonts w:ascii="Times New Roman" w:hAnsi="Times New Roman" w:cs="Times New Roman"/>
          <w:sz w:val="24"/>
          <w:szCs w:val="24"/>
          <w:lang w:val="es-ES_tradnl"/>
        </w:rPr>
        <w:t>e lo entrega a Riquelme. ¿Si fueras el abogado de la compañía de Seguros, aconsejarías iniciar la acción de repetición de lo pagado  a Riquel</w:t>
      </w:r>
      <w:r w:rsidRPr="00AA29B4">
        <w:rPr>
          <w:rFonts w:ascii="Times New Roman" w:hAnsi="Times New Roman" w:cs="Times New Roman"/>
          <w:sz w:val="24"/>
          <w:szCs w:val="24"/>
          <w:lang w:val="es-ES_tradnl"/>
        </w:rPr>
        <w:t>me? ¿hay pago indebido?</w:t>
      </w:r>
      <w:r w:rsidRPr="00AA29B4">
        <w:rPr>
          <w:rFonts w:ascii="Times New Roman" w:hAnsi="Times New Roman" w:cs="Times New Roman"/>
          <w:sz w:val="24"/>
          <w:szCs w:val="24"/>
          <w:lang w:val="es-AR"/>
        </w:rPr>
        <w:t xml:space="preserve"> </w:t>
      </w:r>
    </w:p>
    <w:p w:rsidR="00AA29B4" w:rsidRDefault="00E8497E" w:rsidP="00AA29B4">
      <w:pPr>
        <w:numPr>
          <w:ilvl w:val="0"/>
          <w:numId w:val="5"/>
        </w:num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lastRenderedPageBreak/>
        <w:t>Ana y Pedro deciden casarse el a fin de año. Han organizado un gran festejo con 500 invitados.  La madrina de Ana, la Sra. Beba, les regala u$s 3.000 para que lo destinen al viaje de bodas. Una semana antes de la boda, Ana y Pedro deciden no casarse y avisan a sus invitados. La Sra. Beba quiere saber si puede pedirles que le devuelvan los dólares que les regaló.</w:t>
      </w:r>
    </w:p>
    <w:p w:rsidR="00E8497E" w:rsidRPr="00AA29B4" w:rsidRDefault="00E8497E" w:rsidP="00AA29B4">
      <w:pPr>
        <w:numPr>
          <w:ilvl w:val="0"/>
          <w:numId w:val="5"/>
        </w:num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El Sr.  Suárez hace un año que no paga el alquiler a su locador, el Sr. Fioretti. Éste último, cansado de efectuar infructuosos reclamos, decide enviarle unos matones para cobrarle a Suárez. Los matones amenazan a Suárez con un arma de fuego y, así obtienen el cobro de la deuda. El Sr. Suárez quiere saber si puede recuperar lo que dio en pago porque fue en contra de su voluntad y amenazado.</w:t>
      </w:r>
    </w:p>
    <w:p w:rsidR="00786E92" w:rsidRDefault="00354835" w:rsidP="00786E92">
      <w:pPr>
        <w:spacing w:line="360" w:lineRule="auto"/>
        <w:rPr>
          <w:rFonts w:ascii="Times New Roman" w:hAnsi="Times New Roman" w:cs="Times New Roman"/>
          <w:sz w:val="24"/>
          <w:szCs w:val="24"/>
        </w:rPr>
      </w:pPr>
      <w:r>
        <w:rPr>
          <w:rFonts w:ascii="Times New Roman" w:hAnsi="Times New Roman" w:cs="Times New Roman"/>
          <w:sz w:val="24"/>
          <w:szCs w:val="24"/>
        </w:rPr>
        <w:t>6</w:t>
      </w:r>
      <w:r w:rsidR="00786E92">
        <w:rPr>
          <w:rFonts w:ascii="Times New Roman" w:hAnsi="Times New Roman" w:cs="Times New Roman"/>
          <w:sz w:val="24"/>
          <w:szCs w:val="24"/>
        </w:rPr>
        <w:t>. ¿las obligaciones pueden ser reconocidas? ¿por quién? ¿de qué manera? Y con qué efectos?</w:t>
      </w:r>
      <w:r w:rsidR="0079654A">
        <w:rPr>
          <w:rFonts w:ascii="Times New Roman" w:hAnsi="Times New Roman" w:cs="Times New Roman"/>
          <w:sz w:val="24"/>
          <w:szCs w:val="24"/>
        </w:rPr>
        <w:t xml:space="preserve"> </w:t>
      </w:r>
      <w:r w:rsidR="00786E92" w:rsidRPr="003D2F08">
        <w:rPr>
          <w:rFonts w:ascii="Times New Roman" w:hAnsi="Times New Roman" w:cs="Times New Roman"/>
          <w:sz w:val="24"/>
          <w:szCs w:val="24"/>
        </w:rPr>
        <w:t>Reconocimiento de las obligaciones (art. 733 C.C.C.N.), abstracto (art. 734 C.C.C.N.</w:t>
      </w:r>
      <w:r w:rsidR="00786E92">
        <w:rPr>
          <w:rFonts w:ascii="Times New Roman" w:hAnsi="Times New Roman" w:cs="Times New Roman"/>
          <w:sz w:val="24"/>
          <w:szCs w:val="24"/>
        </w:rPr>
        <w:t>) y causal (art. 735 C.C.C.N.).</w:t>
      </w:r>
    </w:p>
    <w:p w:rsidR="00786E92" w:rsidRDefault="00354835" w:rsidP="00EE791C">
      <w:pPr>
        <w:spacing w:line="360" w:lineRule="auto"/>
        <w:rPr>
          <w:rFonts w:ascii="Times New Roman" w:hAnsi="Times New Roman" w:cs="Times New Roman"/>
          <w:sz w:val="24"/>
          <w:szCs w:val="24"/>
        </w:rPr>
      </w:pPr>
      <w:r>
        <w:rPr>
          <w:rFonts w:ascii="Times New Roman" w:hAnsi="Times New Roman" w:cs="Times New Roman"/>
          <w:sz w:val="24"/>
          <w:szCs w:val="24"/>
        </w:rPr>
        <w:t>7</w:t>
      </w:r>
      <w:r w:rsidR="00786E92">
        <w:rPr>
          <w:rFonts w:ascii="Times New Roman" w:hAnsi="Times New Roman" w:cs="Times New Roman"/>
          <w:sz w:val="24"/>
          <w:szCs w:val="24"/>
        </w:rPr>
        <w:t xml:space="preserve">. </w:t>
      </w:r>
      <w:r w:rsidR="00786E92" w:rsidRPr="003D2F08">
        <w:rPr>
          <w:rFonts w:ascii="Times New Roman" w:hAnsi="Times New Roman" w:cs="Times New Roman"/>
          <w:sz w:val="24"/>
          <w:szCs w:val="24"/>
        </w:rPr>
        <w:t>Influencia de la causa fin y motivo de los actos jurídicos en las obligaciones.</w:t>
      </w:r>
      <w:r w:rsidR="00786E92">
        <w:rPr>
          <w:rFonts w:ascii="Times New Roman" w:hAnsi="Times New Roman" w:cs="Times New Roman"/>
          <w:sz w:val="24"/>
          <w:szCs w:val="24"/>
        </w:rPr>
        <w:t xml:space="preserve"> Con tu grupo de trabajo da un ejemplo en donde puedas identificar las tres causas.</w:t>
      </w:r>
      <w:r w:rsidR="00EE791C">
        <w:rPr>
          <w:rFonts w:ascii="Times New Roman" w:hAnsi="Times New Roman" w:cs="Times New Roman"/>
          <w:sz w:val="24"/>
          <w:szCs w:val="24"/>
        </w:rPr>
        <w:t xml:space="preserve">Lectura de fallo: </w:t>
      </w:r>
      <w:r w:rsidR="00EE791C" w:rsidRPr="00EE791C">
        <w:rPr>
          <w:rFonts w:ascii="Times New Roman" w:hAnsi="Times New Roman" w:cs="Times New Roman"/>
          <w:sz w:val="24"/>
          <w:szCs w:val="24"/>
        </w:rPr>
        <w:t>Cámara Nacional de Apelaciones en lo Civil, sala A</w:t>
      </w:r>
      <w:r w:rsidR="00EE791C">
        <w:rPr>
          <w:rFonts w:ascii="Times New Roman" w:hAnsi="Times New Roman" w:cs="Times New Roman"/>
          <w:sz w:val="24"/>
          <w:szCs w:val="24"/>
        </w:rPr>
        <w:t xml:space="preserve">, </w:t>
      </w:r>
      <w:r w:rsidR="00EE791C" w:rsidRPr="00EE791C">
        <w:rPr>
          <w:rFonts w:ascii="Times New Roman" w:hAnsi="Times New Roman" w:cs="Times New Roman"/>
          <w:sz w:val="24"/>
          <w:szCs w:val="24"/>
        </w:rPr>
        <w:t xml:space="preserve">M. V. T., B. y otro c. Julia Tours S. A. y otro s/ </w:t>
      </w:r>
      <w:r w:rsidR="00EE791C">
        <w:rPr>
          <w:rFonts w:ascii="Times New Roman" w:hAnsi="Times New Roman" w:cs="Times New Roman"/>
          <w:sz w:val="24"/>
          <w:szCs w:val="24"/>
        </w:rPr>
        <w:t xml:space="preserve">daños y perjuicios • 24/08/2015, </w:t>
      </w:r>
      <w:r w:rsidR="00EE791C" w:rsidRPr="00EE791C">
        <w:rPr>
          <w:rFonts w:ascii="Times New Roman" w:hAnsi="Times New Roman" w:cs="Times New Roman"/>
          <w:sz w:val="24"/>
          <w:szCs w:val="24"/>
        </w:rPr>
        <w:t>RCCyC 2015 (noviembre) , 138  • RCyS 2015-</w:t>
      </w:r>
      <w:r w:rsidR="00EE791C">
        <w:rPr>
          <w:rFonts w:ascii="Times New Roman" w:hAnsi="Times New Roman" w:cs="Times New Roman"/>
          <w:sz w:val="24"/>
          <w:szCs w:val="24"/>
        </w:rPr>
        <w:t xml:space="preserve">XII , 117  • DJ 02/03/2016 , 68, </w:t>
      </w:r>
      <w:r w:rsidR="00EE791C" w:rsidRPr="00EE791C">
        <w:rPr>
          <w:rFonts w:ascii="Times New Roman" w:hAnsi="Times New Roman" w:cs="Times New Roman"/>
          <w:sz w:val="24"/>
          <w:szCs w:val="24"/>
        </w:rPr>
        <w:t>AR/JUR/28309/2015</w:t>
      </w:r>
      <w:r w:rsidR="00EE791C">
        <w:rPr>
          <w:rFonts w:ascii="Times New Roman" w:hAnsi="Times New Roman" w:cs="Times New Roman"/>
          <w:sz w:val="24"/>
          <w:szCs w:val="24"/>
        </w:rPr>
        <w:t>.</w:t>
      </w:r>
    </w:p>
    <w:p w:rsidR="00354835" w:rsidRDefault="00354835" w:rsidP="00EE791C">
      <w:pPr>
        <w:spacing w:line="360" w:lineRule="auto"/>
        <w:rPr>
          <w:rFonts w:ascii="Times New Roman" w:hAnsi="Times New Roman" w:cs="Times New Roman"/>
          <w:sz w:val="24"/>
          <w:szCs w:val="24"/>
        </w:rPr>
      </w:pPr>
      <w:r>
        <w:rPr>
          <w:rFonts w:ascii="Times New Roman" w:hAnsi="Times New Roman" w:cs="Times New Roman"/>
          <w:sz w:val="24"/>
          <w:szCs w:val="24"/>
        </w:rPr>
        <w:t>8.</w:t>
      </w:r>
      <w:r w:rsidR="00352ECE">
        <w:rPr>
          <w:rFonts w:ascii="Times New Roman" w:hAnsi="Times New Roman" w:cs="Times New Roman"/>
          <w:sz w:val="24"/>
          <w:szCs w:val="24"/>
        </w:rPr>
        <w:t xml:space="preserve"> </w:t>
      </w:r>
      <w:r>
        <w:rPr>
          <w:rFonts w:ascii="Times New Roman" w:hAnsi="Times New Roman" w:cs="Times New Roman"/>
          <w:sz w:val="24"/>
          <w:szCs w:val="24"/>
        </w:rPr>
        <w:t>Resolución de Problemas</w:t>
      </w:r>
    </w:p>
    <w:p w:rsidR="00354835" w:rsidRDefault="00354835" w:rsidP="00352ECE">
      <w:r>
        <w:t>La empresa “Tu viaje Ideal SRL” realiza una promoción en un centro comercial. Las promotoras invitan a las personas a participar un sorteo, los ganadores recibirán un premio</w:t>
      </w:r>
      <w:r w:rsidR="00352ECE">
        <w:t xml:space="preserve"> (un viaje a Cancún para dos personas). El</w:t>
      </w:r>
      <w:r>
        <w:t xml:space="preserve"> premio</w:t>
      </w:r>
      <w:r w:rsidR="00352ECE">
        <w:t xml:space="preserve"> debe ser retirado por el ganador</w:t>
      </w:r>
      <w:r>
        <w:t>, sin ningún com</w:t>
      </w:r>
      <w:r w:rsidR="00352ECE">
        <w:t>promiso ni obligación de compra. La promotora le dice que</w:t>
      </w:r>
      <w:r>
        <w:t xml:space="preserve"> es requisito imprescindible llamar al teléfono indicado al dorso del documento recibido, </w:t>
      </w:r>
      <w:r w:rsidR="00352ECE">
        <w:t>acordar</w:t>
      </w:r>
      <w:r>
        <w:t xml:space="preserve"> una cita y que el titular conteste a un breve cuestionario.</w:t>
      </w:r>
      <w:r w:rsidR="00352ECE">
        <w:t xml:space="preserve"> María es una de las ganadoras, efectúa el llamado telefónico, conviene día y hora para la cita y contesta el breve cuestionario. Al concurrir al lugar de la cita, es atendida por un empleado que durante una hora le muestra diversos videos con las ventajas de adquirir un tiempo compartido para pasar unas vacaciones soñadas. María le dice que no puede quedarse más tiempo, que se tiene que retirar y quiere llevarse su premio. La empresa se lo niega porque no se quedó hasta el final de la charla.</w:t>
      </w:r>
    </w:p>
    <w:p w:rsidR="00354835" w:rsidRDefault="00352ECE" w:rsidP="00354835">
      <w:r>
        <w:t>¿María puede exigir la entrega del premio? ¿la obligación tiene causa fuente?</w:t>
      </w:r>
    </w:p>
    <w:p w:rsidR="00354835" w:rsidRDefault="00354835" w:rsidP="00354835"/>
    <w:p w:rsidR="00354835" w:rsidRDefault="00354835" w:rsidP="00EE791C">
      <w:pPr>
        <w:spacing w:line="360" w:lineRule="auto"/>
        <w:rPr>
          <w:rFonts w:ascii="Times New Roman" w:hAnsi="Times New Roman" w:cs="Times New Roman"/>
          <w:sz w:val="24"/>
          <w:szCs w:val="24"/>
        </w:rPr>
      </w:pPr>
    </w:p>
    <w:p w:rsidR="00786E92" w:rsidRPr="0055181E" w:rsidRDefault="00786E92" w:rsidP="0055181E">
      <w:pPr>
        <w:spacing w:line="360" w:lineRule="auto"/>
        <w:rPr>
          <w:rFonts w:ascii="Times New Roman" w:hAnsi="Times New Roman" w:cs="Times New Roman"/>
          <w:sz w:val="24"/>
          <w:szCs w:val="24"/>
        </w:rPr>
      </w:pPr>
    </w:p>
    <w:p w:rsidR="003D2F08" w:rsidRDefault="003D2F08" w:rsidP="003D2F08">
      <w:pPr>
        <w:spacing w:line="360" w:lineRule="auto"/>
        <w:rPr>
          <w:rFonts w:ascii="Times New Roman" w:hAnsi="Times New Roman" w:cs="Times New Roman"/>
          <w:sz w:val="24"/>
          <w:szCs w:val="24"/>
        </w:rPr>
      </w:pPr>
    </w:p>
    <w:p w:rsidR="003D2F08" w:rsidRDefault="003D2F08" w:rsidP="003D2F08">
      <w:pPr>
        <w:spacing w:line="360" w:lineRule="auto"/>
        <w:rPr>
          <w:rFonts w:ascii="Times New Roman" w:hAnsi="Times New Roman" w:cs="Times New Roman"/>
          <w:sz w:val="24"/>
          <w:szCs w:val="24"/>
        </w:rPr>
      </w:pPr>
    </w:p>
    <w:p w:rsidR="003D2F08" w:rsidRPr="003D2F08" w:rsidRDefault="003D2F08" w:rsidP="003D2F08">
      <w:pPr>
        <w:spacing w:line="360" w:lineRule="auto"/>
        <w:rPr>
          <w:rFonts w:ascii="Times New Roman" w:hAnsi="Times New Roman" w:cs="Times New Roman"/>
          <w:sz w:val="24"/>
          <w:szCs w:val="24"/>
        </w:rPr>
      </w:pPr>
    </w:p>
    <w:sectPr w:rsidR="003D2F08" w:rsidRPr="003D2F08" w:rsidSect="00260CBE">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3F3" w:rsidRDefault="00E963F3" w:rsidP="00153FE1">
      <w:pPr>
        <w:spacing w:after="0" w:line="240" w:lineRule="auto"/>
      </w:pPr>
      <w:r>
        <w:separator/>
      </w:r>
    </w:p>
  </w:endnote>
  <w:endnote w:type="continuationSeparator" w:id="1">
    <w:p w:rsidR="00E963F3" w:rsidRDefault="00E963F3" w:rsidP="00153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3F3" w:rsidRDefault="00E963F3" w:rsidP="00153FE1">
      <w:pPr>
        <w:spacing w:after="0" w:line="240" w:lineRule="auto"/>
      </w:pPr>
      <w:r>
        <w:separator/>
      </w:r>
    </w:p>
  </w:footnote>
  <w:footnote w:type="continuationSeparator" w:id="1">
    <w:p w:rsidR="00E963F3" w:rsidRDefault="00E963F3" w:rsidP="00153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038922"/>
      <w:docPartObj>
        <w:docPartGallery w:val="Page Numbers (Top of Page)"/>
        <w:docPartUnique/>
      </w:docPartObj>
    </w:sdtPr>
    <w:sdtContent>
      <w:p w:rsidR="00153FE1" w:rsidRDefault="00153FE1">
        <w:pPr>
          <w:pStyle w:val="Encabezado"/>
        </w:pPr>
        <w:fldSimple w:instr=" PAGE   \* MERGEFORMAT ">
          <w:r>
            <w:rPr>
              <w:noProof/>
            </w:rPr>
            <w:t>1</w:t>
          </w:r>
        </w:fldSimple>
      </w:p>
    </w:sdtContent>
  </w:sdt>
  <w:p w:rsidR="00153FE1" w:rsidRDefault="00153FE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31A4"/>
    <w:multiLevelType w:val="hybridMultilevel"/>
    <w:tmpl w:val="4D2CEB56"/>
    <w:lvl w:ilvl="0" w:tplc="853AA4BC">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532361"/>
    <w:multiLevelType w:val="hybridMultilevel"/>
    <w:tmpl w:val="F97C8EAE"/>
    <w:lvl w:ilvl="0" w:tplc="2612D886">
      <w:start w:val="1"/>
      <w:numFmt w:val="bullet"/>
      <w:lvlText w:val="•"/>
      <w:lvlJc w:val="left"/>
      <w:pPr>
        <w:tabs>
          <w:tab w:val="num" w:pos="720"/>
        </w:tabs>
        <w:ind w:left="720" w:hanging="360"/>
      </w:pPr>
      <w:rPr>
        <w:rFonts w:ascii="Arial" w:hAnsi="Arial" w:hint="default"/>
      </w:rPr>
    </w:lvl>
    <w:lvl w:ilvl="1" w:tplc="36B2CC9A" w:tentative="1">
      <w:start w:val="1"/>
      <w:numFmt w:val="bullet"/>
      <w:lvlText w:val="•"/>
      <w:lvlJc w:val="left"/>
      <w:pPr>
        <w:tabs>
          <w:tab w:val="num" w:pos="1440"/>
        </w:tabs>
        <w:ind w:left="1440" w:hanging="360"/>
      </w:pPr>
      <w:rPr>
        <w:rFonts w:ascii="Arial" w:hAnsi="Arial" w:hint="default"/>
      </w:rPr>
    </w:lvl>
    <w:lvl w:ilvl="2" w:tplc="B7B8807A" w:tentative="1">
      <w:start w:val="1"/>
      <w:numFmt w:val="bullet"/>
      <w:lvlText w:val="•"/>
      <w:lvlJc w:val="left"/>
      <w:pPr>
        <w:tabs>
          <w:tab w:val="num" w:pos="2160"/>
        </w:tabs>
        <w:ind w:left="2160" w:hanging="360"/>
      </w:pPr>
      <w:rPr>
        <w:rFonts w:ascii="Arial" w:hAnsi="Arial" w:hint="default"/>
      </w:rPr>
    </w:lvl>
    <w:lvl w:ilvl="3" w:tplc="2A3CA51E" w:tentative="1">
      <w:start w:val="1"/>
      <w:numFmt w:val="bullet"/>
      <w:lvlText w:val="•"/>
      <w:lvlJc w:val="left"/>
      <w:pPr>
        <w:tabs>
          <w:tab w:val="num" w:pos="2880"/>
        </w:tabs>
        <w:ind w:left="2880" w:hanging="360"/>
      </w:pPr>
      <w:rPr>
        <w:rFonts w:ascii="Arial" w:hAnsi="Arial" w:hint="default"/>
      </w:rPr>
    </w:lvl>
    <w:lvl w:ilvl="4" w:tplc="E2E61A4A" w:tentative="1">
      <w:start w:val="1"/>
      <w:numFmt w:val="bullet"/>
      <w:lvlText w:val="•"/>
      <w:lvlJc w:val="left"/>
      <w:pPr>
        <w:tabs>
          <w:tab w:val="num" w:pos="3600"/>
        </w:tabs>
        <w:ind w:left="3600" w:hanging="360"/>
      </w:pPr>
      <w:rPr>
        <w:rFonts w:ascii="Arial" w:hAnsi="Arial" w:hint="default"/>
      </w:rPr>
    </w:lvl>
    <w:lvl w:ilvl="5" w:tplc="0B5ADB6E" w:tentative="1">
      <w:start w:val="1"/>
      <w:numFmt w:val="bullet"/>
      <w:lvlText w:val="•"/>
      <w:lvlJc w:val="left"/>
      <w:pPr>
        <w:tabs>
          <w:tab w:val="num" w:pos="4320"/>
        </w:tabs>
        <w:ind w:left="4320" w:hanging="360"/>
      </w:pPr>
      <w:rPr>
        <w:rFonts w:ascii="Arial" w:hAnsi="Arial" w:hint="default"/>
      </w:rPr>
    </w:lvl>
    <w:lvl w:ilvl="6" w:tplc="934C784C" w:tentative="1">
      <w:start w:val="1"/>
      <w:numFmt w:val="bullet"/>
      <w:lvlText w:val="•"/>
      <w:lvlJc w:val="left"/>
      <w:pPr>
        <w:tabs>
          <w:tab w:val="num" w:pos="5040"/>
        </w:tabs>
        <w:ind w:left="5040" w:hanging="360"/>
      </w:pPr>
      <w:rPr>
        <w:rFonts w:ascii="Arial" w:hAnsi="Arial" w:hint="default"/>
      </w:rPr>
    </w:lvl>
    <w:lvl w:ilvl="7" w:tplc="72A21460" w:tentative="1">
      <w:start w:val="1"/>
      <w:numFmt w:val="bullet"/>
      <w:lvlText w:val="•"/>
      <w:lvlJc w:val="left"/>
      <w:pPr>
        <w:tabs>
          <w:tab w:val="num" w:pos="5760"/>
        </w:tabs>
        <w:ind w:left="5760" w:hanging="360"/>
      </w:pPr>
      <w:rPr>
        <w:rFonts w:ascii="Arial" w:hAnsi="Arial" w:hint="default"/>
      </w:rPr>
    </w:lvl>
    <w:lvl w:ilvl="8" w:tplc="FF1A50F2" w:tentative="1">
      <w:start w:val="1"/>
      <w:numFmt w:val="bullet"/>
      <w:lvlText w:val="•"/>
      <w:lvlJc w:val="left"/>
      <w:pPr>
        <w:tabs>
          <w:tab w:val="num" w:pos="6480"/>
        </w:tabs>
        <w:ind w:left="6480" w:hanging="360"/>
      </w:pPr>
      <w:rPr>
        <w:rFonts w:ascii="Arial" w:hAnsi="Arial" w:hint="default"/>
      </w:rPr>
    </w:lvl>
  </w:abstractNum>
  <w:abstractNum w:abstractNumId="2">
    <w:nsid w:val="3C2515DF"/>
    <w:multiLevelType w:val="hybridMultilevel"/>
    <w:tmpl w:val="992008E0"/>
    <w:lvl w:ilvl="0" w:tplc="1DDCFF8A">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121E53"/>
    <w:multiLevelType w:val="hybridMultilevel"/>
    <w:tmpl w:val="767872E4"/>
    <w:lvl w:ilvl="0" w:tplc="2C0A0013">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931A4A"/>
    <w:multiLevelType w:val="hybridMultilevel"/>
    <w:tmpl w:val="02C0F1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hyphenationZone w:val="425"/>
  <w:characterSpacingControl w:val="doNotCompress"/>
  <w:footnotePr>
    <w:footnote w:id="0"/>
    <w:footnote w:id="1"/>
  </w:footnotePr>
  <w:endnotePr>
    <w:endnote w:id="0"/>
    <w:endnote w:id="1"/>
  </w:endnotePr>
  <w:compat/>
  <w:rsids>
    <w:rsidRoot w:val="003D2F08"/>
    <w:rsid w:val="00070A87"/>
    <w:rsid w:val="00111EDF"/>
    <w:rsid w:val="00153FE1"/>
    <w:rsid w:val="00187525"/>
    <w:rsid w:val="00260CBE"/>
    <w:rsid w:val="00352ECE"/>
    <w:rsid w:val="00354835"/>
    <w:rsid w:val="003D2F08"/>
    <w:rsid w:val="005444FD"/>
    <w:rsid w:val="0055181E"/>
    <w:rsid w:val="00575D1E"/>
    <w:rsid w:val="00624EBA"/>
    <w:rsid w:val="007217F4"/>
    <w:rsid w:val="00786E92"/>
    <w:rsid w:val="0079654A"/>
    <w:rsid w:val="008E48B2"/>
    <w:rsid w:val="009F3ED7"/>
    <w:rsid w:val="00A717F7"/>
    <w:rsid w:val="00A72C61"/>
    <w:rsid w:val="00AA29B4"/>
    <w:rsid w:val="00C16360"/>
    <w:rsid w:val="00C85D88"/>
    <w:rsid w:val="00CF4B66"/>
    <w:rsid w:val="00E8497E"/>
    <w:rsid w:val="00E963F3"/>
    <w:rsid w:val="00EC3F53"/>
    <w:rsid w:val="00EE791C"/>
    <w:rsid w:val="00F30F77"/>
    <w:rsid w:val="00F7744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B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55181E"/>
    <w:pPr>
      <w:ind w:left="720"/>
      <w:contextualSpacing/>
    </w:pPr>
  </w:style>
  <w:style w:type="paragraph" w:styleId="Textodeglobo">
    <w:name w:val="Balloon Text"/>
    <w:basedOn w:val="Normal"/>
    <w:link w:val="TextodegloboCar"/>
    <w:uiPriority w:val="99"/>
    <w:semiHidden/>
    <w:unhideWhenUsed/>
    <w:rsid w:val="008E48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8B2"/>
    <w:rPr>
      <w:rFonts w:ascii="Segoe UI" w:hAnsi="Segoe UI" w:cs="Segoe UI"/>
      <w:sz w:val="18"/>
      <w:szCs w:val="18"/>
    </w:rPr>
  </w:style>
  <w:style w:type="character" w:customStyle="1" w:styleId="PrrafodelistaCar">
    <w:name w:val="Párrafo de lista Car"/>
    <w:link w:val="Prrafodelista"/>
    <w:uiPriority w:val="99"/>
    <w:locked/>
    <w:rsid w:val="00AA29B4"/>
  </w:style>
  <w:style w:type="paragraph" w:styleId="Encabezado">
    <w:name w:val="header"/>
    <w:basedOn w:val="Normal"/>
    <w:link w:val="EncabezadoCar"/>
    <w:uiPriority w:val="99"/>
    <w:unhideWhenUsed/>
    <w:rsid w:val="00153F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3FE1"/>
  </w:style>
  <w:style w:type="paragraph" w:styleId="Piedepgina">
    <w:name w:val="footer"/>
    <w:basedOn w:val="Normal"/>
    <w:link w:val="PiedepginaCar"/>
    <w:uiPriority w:val="99"/>
    <w:semiHidden/>
    <w:unhideWhenUsed/>
    <w:rsid w:val="00153F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53FE1"/>
  </w:style>
</w:styles>
</file>

<file path=word/webSettings.xml><?xml version="1.0" encoding="utf-8"?>
<w:webSettings xmlns:r="http://schemas.openxmlformats.org/officeDocument/2006/relationships" xmlns:w="http://schemas.openxmlformats.org/wordprocessingml/2006/main">
  <w:divs>
    <w:div w:id="685640354">
      <w:bodyDiv w:val="1"/>
      <w:marLeft w:val="0"/>
      <w:marRight w:val="0"/>
      <w:marTop w:val="0"/>
      <w:marBottom w:val="0"/>
      <w:divBdr>
        <w:top w:val="none" w:sz="0" w:space="0" w:color="auto"/>
        <w:left w:val="none" w:sz="0" w:space="0" w:color="auto"/>
        <w:bottom w:val="none" w:sz="0" w:space="0" w:color="auto"/>
        <w:right w:val="none" w:sz="0" w:space="0" w:color="auto"/>
      </w:divBdr>
      <w:divsChild>
        <w:div w:id="16706000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 Furlotti</dc:creator>
  <cp:lastModifiedBy>Ricardo</cp:lastModifiedBy>
  <cp:revision>2</cp:revision>
  <cp:lastPrinted>2017-04-05T17:52:00Z</cp:lastPrinted>
  <dcterms:created xsi:type="dcterms:W3CDTF">2018-04-04T22:22:00Z</dcterms:created>
  <dcterms:modified xsi:type="dcterms:W3CDTF">2018-04-04T22:22:00Z</dcterms:modified>
</cp:coreProperties>
</file>